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9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/>
      </w:tblPr>
      <w:tblGrid>
        <w:gridCol w:w="213"/>
        <w:gridCol w:w="128"/>
        <w:gridCol w:w="1532"/>
        <w:gridCol w:w="608"/>
        <w:gridCol w:w="5386"/>
        <w:gridCol w:w="1966"/>
        <w:gridCol w:w="75"/>
        <w:gridCol w:w="511"/>
      </w:tblGrid>
      <w:tr w:rsidR="00621129" w:rsidRPr="00D40047" w:rsidTr="0098506E">
        <w:trPr>
          <w:gridBefore w:val="1"/>
          <w:gridAfter w:val="1"/>
          <w:wBefore w:w="252" w:type="dxa"/>
          <w:wAfter w:w="609" w:type="dxa"/>
          <w:trHeight w:val="1250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center"/>
          </w:tcPr>
          <w:p w:rsidR="00621129" w:rsidRPr="00795F63" w:rsidRDefault="00621129" w:rsidP="00EA50B1">
            <w:pPr>
              <w:autoSpaceDE w:val="0"/>
              <w:autoSpaceDN w:val="0"/>
              <w:adjustRightInd w:val="0"/>
              <w:spacing w:line="276" w:lineRule="auto"/>
              <w:ind w:left="-90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955040" cy="757555"/>
                  <wp:effectExtent l="19050" t="0" r="0" b="0"/>
                  <wp:docPr id="1" name="Picture 2" descr="Description: nfml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nf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757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621129" w:rsidRPr="0098506E" w:rsidRDefault="00621129" w:rsidP="00EA50B1">
            <w:pPr>
              <w:autoSpaceDE w:val="0"/>
              <w:autoSpaceDN w:val="0"/>
              <w:adjustRightInd w:val="0"/>
              <w:spacing w:line="276" w:lineRule="auto"/>
              <w:ind w:left="-108" w:right="-229"/>
              <w:jc w:val="center"/>
              <w:rPr>
                <w:b/>
                <w:smallCaps/>
                <w:sz w:val="30"/>
                <w:szCs w:val="30"/>
              </w:rPr>
            </w:pPr>
            <w:r w:rsidRPr="0098506E">
              <w:rPr>
                <w:b/>
                <w:smallCaps/>
                <w:sz w:val="30"/>
                <w:szCs w:val="30"/>
              </w:rPr>
              <w:t>National Fertilizer Marketing Limited,</w:t>
            </w:r>
          </w:p>
          <w:p w:rsidR="00621129" w:rsidRPr="0098506E" w:rsidRDefault="00621129" w:rsidP="00EA50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mallCaps/>
                <w:sz w:val="30"/>
                <w:szCs w:val="30"/>
              </w:rPr>
            </w:pPr>
            <w:r w:rsidRPr="0098506E">
              <w:rPr>
                <w:b/>
                <w:smallCaps/>
                <w:sz w:val="30"/>
                <w:szCs w:val="30"/>
              </w:rPr>
              <w:t>invites</w:t>
            </w:r>
          </w:p>
          <w:p w:rsidR="00621129" w:rsidRPr="0098506E" w:rsidRDefault="00621129" w:rsidP="00EA50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mallCaps/>
                <w:sz w:val="30"/>
                <w:szCs w:val="30"/>
              </w:rPr>
            </w:pPr>
            <w:r w:rsidRPr="0098506E">
              <w:rPr>
                <w:b/>
                <w:smallCaps/>
                <w:sz w:val="30"/>
                <w:szCs w:val="30"/>
              </w:rPr>
              <w:t xml:space="preserve">Tenders for Labour &amp; Security  Services </w:t>
            </w:r>
          </w:p>
          <w:p w:rsidR="00621129" w:rsidRPr="00D40047" w:rsidRDefault="00621129" w:rsidP="00EA50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mallCaps/>
                <w:sz w:val="40"/>
                <w:szCs w:val="40"/>
              </w:rPr>
            </w:pPr>
            <w:r w:rsidRPr="0098506E">
              <w:rPr>
                <w:b/>
                <w:smallCaps/>
                <w:sz w:val="30"/>
                <w:szCs w:val="30"/>
              </w:rPr>
              <w:t>At NFML Temporary Stores</w:t>
            </w:r>
          </w:p>
        </w:tc>
      </w:tr>
      <w:tr w:rsidR="00621129" w:rsidRPr="00D40047" w:rsidTr="00621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/>
        </w:tblPrEx>
        <w:trPr>
          <w:gridBefore w:val="2"/>
          <w:gridAfter w:val="2"/>
          <w:wBefore w:w="380" w:type="dxa"/>
          <w:wAfter w:w="698" w:type="dxa"/>
          <w:trHeight w:val="12815"/>
        </w:trPr>
        <w:tc>
          <w:tcPr>
            <w:tcW w:w="9341" w:type="dxa"/>
            <w:gridSpan w:val="4"/>
            <w:shd w:val="clear" w:color="auto" w:fill="auto"/>
            <w:vAlign w:val="center"/>
          </w:tcPr>
          <w:p w:rsidR="00621129" w:rsidRPr="00921B95" w:rsidRDefault="00621129" w:rsidP="00EA50B1">
            <w:pPr>
              <w:spacing w:line="276" w:lineRule="auto"/>
              <w:jc w:val="both"/>
              <w:rPr>
                <w:sz w:val="20"/>
                <w:szCs w:val="22"/>
              </w:rPr>
            </w:pPr>
            <w:r w:rsidRPr="00921B95">
              <w:rPr>
                <w:sz w:val="20"/>
                <w:szCs w:val="22"/>
              </w:rPr>
              <w:t xml:space="preserve">Open Tenders are invited from Labour &amp; Security Services </w:t>
            </w:r>
            <w:r>
              <w:rPr>
                <w:sz w:val="20"/>
                <w:szCs w:val="22"/>
              </w:rPr>
              <w:t>C</w:t>
            </w:r>
            <w:r w:rsidRPr="00921B95">
              <w:rPr>
                <w:sz w:val="20"/>
                <w:szCs w:val="22"/>
              </w:rPr>
              <w:t>ontractor</w:t>
            </w:r>
            <w:r>
              <w:rPr>
                <w:sz w:val="20"/>
                <w:szCs w:val="22"/>
              </w:rPr>
              <w:t>s</w:t>
            </w:r>
            <w:r w:rsidRPr="00921B95">
              <w:rPr>
                <w:sz w:val="20"/>
                <w:szCs w:val="22"/>
              </w:rPr>
              <w:t xml:space="preserve"> registered with </w:t>
            </w:r>
            <w:r>
              <w:rPr>
                <w:sz w:val="20"/>
                <w:szCs w:val="22"/>
              </w:rPr>
              <w:t>I</w:t>
            </w:r>
            <w:r w:rsidRPr="00921B95">
              <w:rPr>
                <w:sz w:val="20"/>
                <w:szCs w:val="22"/>
              </w:rPr>
              <w:t xml:space="preserve">ncome </w:t>
            </w:r>
            <w:r>
              <w:rPr>
                <w:sz w:val="20"/>
                <w:szCs w:val="22"/>
              </w:rPr>
              <w:t>T</w:t>
            </w:r>
            <w:r w:rsidRPr="00921B95">
              <w:rPr>
                <w:sz w:val="20"/>
                <w:szCs w:val="22"/>
              </w:rPr>
              <w:t xml:space="preserve">ax and </w:t>
            </w:r>
            <w:r>
              <w:rPr>
                <w:sz w:val="20"/>
                <w:szCs w:val="22"/>
              </w:rPr>
              <w:t>S</w:t>
            </w:r>
            <w:r w:rsidRPr="00921B95">
              <w:rPr>
                <w:sz w:val="20"/>
                <w:szCs w:val="22"/>
              </w:rPr>
              <w:t xml:space="preserve">ales </w:t>
            </w:r>
            <w:r>
              <w:rPr>
                <w:sz w:val="20"/>
                <w:szCs w:val="22"/>
              </w:rPr>
              <w:t>T</w:t>
            </w:r>
            <w:r w:rsidRPr="00921B95">
              <w:rPr>
                <w:sz w:val="20"/>
                <w:szCs w:val="22"/>
              </w:rPr>
              <w:t xml:space="preserve">ax </w:t>
            </w:r>
            <w:r>
              <w:rPr>
                <w:sz w:val="20"/>
                <w:szCs w:val="22"/>
              </w:rPr>
              <w:t>D</w:t>
            </w:r>
            <w:r w:rsidRPr="00921B95">
              <w:rPr>
                <w:sz w:val="20"/>
                <w:szCs w:val="22"/>
              </w:rPr>
              <w:t xml:space="preserve">epartment for </w:t>
            </w:r>
            <w:r w:rsidRPr="00921B95">
              <w:rPr>
                <w:b/>
                <w:sz w:val="20"/>
                <w:szCs w:val="22"/>
                <w:u w:val="single"/>
              </w:rPr>
              <w:t>NFML TEMPORARY STORES</w:t>
            </w:r>
            <w:r w:rsidRPr="00921B95">
              <w:rPr>
                <w:sz w:val="20"/>
                <w:szCs w:val="22"/>
              </w:rPr>
              <w:t xml:space="preserve"> for the period of </w:t>
            </w:r>
            <w:r>
              <w:rPr>
                <w:b/>
                <w:sz w:val="20"/>
                <w:szCs w:val="22"/>
                <w:u w:val="single"/>
              </w:rPr>
              <w:t>Twelve</w:t>
            </w:r>
            <w:r w:rsidRPr="00921B95">
              <w:rPr>
                <w:sz w:val="20"/>
                <w:szCs w:val="22"/>
              </w:rPr>
              <w:t xml:space="preserve"> </w:t>
            </w:r>
            <w:r w:rsidRPr="00620F63">
              <w:rPr>
                <w:b/>
                <w:sz w:val="20"/>
                <w:szCs w:val="22"/>
              </w:rPr>
              <w:t>(12)</w:t>
            </w:r>
            <w:r w:rsidRPr="00921B95">
              <w:rPr>
                <w:sz w:val="20"/>
                <w:szCs w:val="22"/>
              </w:rPr>
              <w:t xml:space="preserve"> months from the date of signing of agreement</w:t>
            </w:r>
            <w:r>
              <w:rPr>
                <w:sz w:val="20"/>
                <w:szCs w:val="22"/>
              </w:rPr>
              <w:t xml:space="preserve"> (extendable)</w:t>
            </w:r>
            <w:r w:rsidRPr="00921B95">
              <w:rPr>
                <w:sz w:val="20"/>
                <w:szCs w:val="22"/>
              </w:rPr>
              <w:t xml:space="preserve">, against </w:t>
            </w:r>
            <w:r w:rsidRPr="00921B95">
              <w:rPr>
                <w:i/>
                <w:sz w:val="20"/>
                <w:szCs w:val="22"/>
              </w:rPr>
              <w:t>refundable</w:t>
            </w:r>
            <w:r w:rsidRPr="00921B95">
              <w:rPr>
                <w:b/>
                <w:i/>
                <w:sz w:val="20"/>
                <w:szCs w:val="22"/>
              </w:rPr>
              <w:t xml:space="preserve"> Bid Security </w:t>
            </w:r>
            <w:r w:rsidRPr="00921B95">
              <w:rPr>
                <w:sz w:val="20"/>
                <w:szCs w:val="22"/>
              </w:rPr>
              <w:t xml:space="preserve">amount </w:t>
            </w:r>
            <w:r w:rsidRPr="006A0798">
              <w:rPr>
                <w:b/>
                <w:sz w:val="20"/>
                <w:szCs w:val="22"/>
                <w:u w:val="single"/>
              </w:rPr>
              <w:t xml:space="preserve">Rupees </w:t>
            </w:r>
            <w:r>
              <w:rPr>
                <w:b/>
                <w:sz w:val="20"/>
                <w:szCs w:val="22"/>
                <w:u w:val="single"/>
              </w:rPr>
              <w:t>Five</w:t>
            </w:r>
            <w:r w:rsidRPr="006A0798">
              <w:rPr>
                <w:b/>
                <w:sz w:val="20"/>
                <w:szCs w:val="22"/>
                <w:u w:val="single"/>
              </w:rPr>
              <w:t xml:space="preserve"> Thousand Only (Rs.</w:t>
            </w:r>
            <w:r>
              <w:rPr>
                <w:b/>
                <w:sz w:val="20"/>
                <w:szCs w:val="22"/>
                <w:u w:val="single"/>
              </w:rPr>
              <w:t>5</w:t>
            </w:r>
            <w:r w:rsidRPr="006A0798">
              <w:rPr>
                <w:b/>
                <w:sz w:val="20"/>
                <w:szCs w:val="22"/>
                <w:u w:val="single"/>
              </w:rPr>
              <w:t>,000/-) of the total bid value quoted for all services</w:t>
            </w:r>
            <w:r w:rsidRPr="00921B9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 xml:space="preserve">as per clause 25 of PPRA rule </w:t>
            </w:r>
            <w:r w:rsidRPr="00921B95">
              <w:rPr>
                <w:sz w:val="20"/>
                <w:szCs w:val="22"/>
              </w:rPr>
              <w:t xml:space="preserve">which shall have to be deposited by each contractor in the form of Demand Draft/Pay Order in the name of NFML, Lahore. </w:t>
            </w:r>
            <w:r w:rsidRPr="00921B95">
              <w:rPr>
                <w:sz w:val="20"/>
                <w:szCs w:val="22"/>
                <w:u w:val="single"/>
              </w:rPr>
              <w:t xml:space="preserve">Rupees </w:t>
            </w:r>
            <w:r>
              <w:rPr>
                <w:sz w:val="20"/>
                <w:szCs w:val="22"/>
                <w:u w:val="single"/>
              </w:rPr>
              <w:t>Fifty</w:t>
            </w:r>
            <w:r w:rsidRPr="00921B95">
              <w:rPr>
                <w:sz w:val="20"/>
                <w:szCs w:val="22"/>
                <w:u w:val="single"/>
              </w:rPr>
              <w:t xml:space="preserve"> Thousand Only </w:t>
            </w:r>
            <w:r>
              <w:rPr>
                <w:sz w:val="20"/>
                <w:szCs w:val="22"/>
                <w:u w:val="single"/>
              </w:rPr>
              <w:t>(</w:t>
            </w:r>
            <w:r w:rsidRPr="00921B95">
              <w:rPr>
                <w:sz w:val="20"/>
                <w:szCs w:val="22"/>
                <w:u w:val="single"/>
              </w:rPr>
              <w:t>refundable</w:t>
            </w:r>
            <w:r>
              <w:rPr>
                <w:sz w:val="20"/>
                <w:szCs w:val="22"/>
                <w:u w:val="single"/>
              </w:rPr>
              <w:t>) as</w:t>
            </w:r>
            <w:r w:rsidRPr="00921B95">
              <w:rPr>
                <w:sz w:val="20"/>
                <w:szCs w:val="22"/>
                <w:u w:val="single"/>
              </w:rPr>
              <w:t xml:space="preserve"> Performance Guarantee for </w:t>
            </w:r>
            <w:r>
              <w:rPr>
                <w:sz w:val="20"/>
                <w:szCs w:val="22"/>
                <w:u w:val="single"/>
              </w:rPr>
              <w:t>Twelve</w:t>
            </w:r>
            <w:r w:rsidRPr="00921B95">
              <w:rPr>
                <w:sz w:val="20"/>
                <w:szCs w:val="22"/>
                <w:u w:val="single"/>
              </w:rPr>
              <w:t xml:space="preserve"> (</w:t>
            </w:r>
            <w:r>
              <w:rPr>
                <w:sz w:val="20"/>
                <w:szCs w:val="22"/>
                <w:u w:val="single"/>
              </w:rPr>
              <w:t>12</w:t>
            </w:r>
            <w:r w:rsidRPr="00921B95">
              <w:rPr>
                <w:sz w:val="20"/>
                <w:szCs w:val="22"/>
                <w:u w:val="single"/>
              </w:rPr>
              <w:t xml:space="preserve">) Months </w:t>
            </w:r>
            <w:r>
              <w:rPr>
                <w:sz w:val="20"/>
                <w:szCs w:val="22"/>
                <w:u w:val="single"/>
              </w:rPr>
              <w:t xml:space="preserve">as per clause 39 of PPRA rule </w:t>
            </w:r>
            <w:r w:rsidRPr="00921B95">
              <w:rPr>
                <w:sz w:val="20"/>
                <w:szCs w:val="22"/>
                <w:u w:val="single"/>
              </w:rPr>
              <w:t>shall have to be also deposited by the successful bidder in form of Demand Draft/Pay Order, in the name of NFML, Lahore before signing of agreement</w:t>
            </w:r>
            <w:r w:rsidRPr="00921B95">
              <w:rPr>
                <w:sz w:val="20"/>
                <w:szCs w:val="22"/>
              </w:rPr>
              <w:t xml:space="preserve">. Previous </w:t>
            </w:r>
            <w:r>
              <w:rPr>
                <w:sz w:val="20"/>
                <w:szCs w:val="22"/>
              </w:rPr>
              <w:t>B</w:t>
            </w:r>
            <w:r w:rsidRPr="00921B95">
              <w:rPr>
                <w:sz w:val="20"/>
                <w:szCs w:val="22"/>
              </w:rPr>
              <w:t xml:space="preserve">id </w:t>
            </w:r>
            <w:r>
              <w:rPr>
                <w:sz w:val="20"/>
                <w:szCs w:val="22"/>
              </w:rPr>
              <w:t>M</w:t>
            </w:r>
            <w:r w:rsidRPr="00921B95">
              <w:rPr>
                <w:sz w:val="20"/>
                <w:szCs w:val="22"/>
              </w:rPr>
              <w:t xml:space="preserve">oney, </w:t>
            </w:r>
            <w:r>
              <w:rPr>
                <w:sz w:val="20"/>
                <w:szCs w:val="22"/>
              </w:rPr>
              <w:t>S</w:t>
            </w:r>
            <w:r w:rsidRPr="00921B95">
              <w:rPr>
                <w:sz w:val="20"/>
                <w:szCs w:val="22"/>
              </w:rPr>
              <w:t>ecurity/</w:t>
            </w:r>
            <w:r>
              <w:rPr>
                <w:sz w:val="20"/>
                <w:szCs w:val="22"/>
              </w:rPr>
              <w:t>P</w:t>
            </w:r>
            <w:r w:rsidRPr="00921B95">
              <w:rPr>
                <w:sz w:val="20"/>
                <w:szCs w:val="22"/>
              </w:rPr>
              <w:t xml:space="preserve">erformance </w:t>
            </w:r>
            <w:r>
              <w:rPr>
                <w:sz w:val="20"/>
                <w:szCs w:val="22"/>
              </w:rPr>
              <w:t>G</w:t>
            </w:r>
            <w:r w:rsidRPr="00921B95">
              <w:rPr>
                <w:sz w:val="20"/>
                <w:szCs w:val="22"/>
              </w:rPr>
              <w:t>uarantee and the pending payments</w:t>
            </w:r>
            <w:r>
              <w:rPr>
                <w:sz w:val="20"/>
                <w:szCs w:val="22"/>
              </w:rPr>
              <w:t xml:space="preserve"> if any</w:t>
            </w:r>
            <w:r w:rsidRPr="00921B95">
              <w:rPr>
                <w:sz w:val="20"/>
                <w:szCs w:val="22"/>
              </w:rPr>
              <w:t xml:space="preserve"> shall not be entertained in this fresh tender. The details are as under :-</w:t>
            </w:r>
          </w:p>
          <w:tbl>
            <w:tblPr>
              <w:tblW w:w="9240" w:type="dxa"/>
              <w:tblLook w:val="04A0"/>
            </w:tblPr>
            <w:tblGrid>
              <w:gridCol w:w="623"/>
              <w:gridCol w:w="933"/>
              <w:gridCol w:w="1916"/>
              <w:gridCol w:w="1643"/>
              <w:gridCol w:w="2055"/>
              <w:gridCol w:w="2070"/>
            </w:tblGrid>
            <w:tr w:rsidR="00621129" w:rsidRPr="005B0AE5" w:rsidTr="006700AE">
              <w:trPr>
                <w:trHeight w:val="575"/>
              </w:trPr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color w:val="000000"/>
                      <w:sz w:val="12"/>
                      <w:szCs w:val="14"/>
                    </w:rPr>
                  </w:pPr>
                  <w:r w:rsidRPr="005B0AE5">
                    <w:rPr>
                      <w:rFonts w:ascii="Century Gothic" w:hAnsi="Century Gothic"/>
                      <w:b/>
                      <w:bCs/>
                      <w:color w:val="000000"/>
                      <w:sz w:val="12"/>
                      <w:szCs w:val="14"/>
                    </w:rPr>
                    <w:t>Sr. No.</w:t>
                  </w:r>
                </w:p>
              </w:tc>
              <w:tc>
                <w:tcPr>
                  <w:tcW w:w="5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color w:val="000000"/>
                      <w:sz w:val="12"/>
                      <w:szCs w:val="14"/>
                    </w:rPr>
                  </w:pPr>
                  <w:r w:rsidRPr="005B0AE5">
                    <w:rPr>
                      <w:rFonts w:ascii="Century Gothic" w:hAnsi="Century Gothic"/>
                      <w:b/>
                      <w:bCs/>
                      <w:color w:val="000000"/>
                      <w:sz w:val="12"/>
                      <w:szCs w:val="14"/>
                    </w:rPr>
                    <w:t>Regional Office</w:t>
                  </w: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color w:val="000000"/>
                      <w:sz w:val="12"/>
                      <w:szCs w:val="14"/>
                    </w:rPr>
                  </w:pPr>
                  <w:r w:rsidRPr="005B0AE5">
                    <w:rPr>
                      <w:rFonts w:ascii="Century Gothic" w:hAnsi="Century Gothic"/>
                      <w:b/>
                      <w:bCs/>
                      <w:color w:val="000000"/>
                      <w:sz w:val="12"/>
                      <w:szCs w:val="14"/>
                    </w:rPr>
                    <w:t>TEMPORARY STORE NAME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sz w:val="12"/>
                      <w:szCs w:val="14"/>
                    </w:rPr>
                  </w:pPr>
                  <w:r w:rsidRPr="005B0AE5">
                    <w:rPr>
                      <w:rFonts w:ascii="Century Gothic" w:hAnsi="Century Gothic"/>
                      <w:b/>
                      <w:bCs/>
                      <w:sz w:val="12"/>
                      <w:szCs w:val="14"/>
                    </w:rPr>
                    <w:t>Tender Documents available at</w:t>
                  </w:r>
                </w:p>
              </w:tc>
              <w:tc>
                <w:tcPr>
                  <w:tcW w:w="11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sz w:val="12"/>
                      <w:szCs w:val="14"/>
                    </w:rPr>
                  </w:pPr>
                  <w:r w:rsidRPr="005B0AE5">
                    <w:rPr>
                      <w:rFonts w:ascii="Century Gothic" w:hAnsi="Century Gothic"/>
                      <w:b/>
                      <w:bCs/>
                      <w:sz w:val="12"/>
                      <w:szCs w:val="14"/>
                    </w:rPr>
                    <w:t>Time &amp; Date and place of submission of bids</w:t>
                  </w:r>
                </w:p>
              </w:tc>
              <w:tc>
                <w:tcPr>
                  <w:tcW w:w="11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sz w:val="12"/>
                      <w:szCs w:val="14"/>
                    </w:rPr>
                  </w:pPr>
                  <w:r w:rsidRPr="005B0AE5">
                    <w:rPr>
                      <w:rFonts w:ascii="Century Gothic" w:hAnsi="Century Gothic"/>
                      <w:b/>
                      <w:bCs/>
                      <w:sz w:val="12"/>
                      <w:szCs w:val="14"/>
                    </w:rPr>
                    <w:t>Time &amp; Date and place of opening of bids</w:t>
                  </w:r>
                </w:p>
              </w:tc>
            </w:tr>
            <w:tr w:rsidR="00621129" w:rsidRPr="005B0AE5" w:rsidTr="006700AE">
              <w:trPr>
                <w:trHeight w:val="44"/>
              </w:trPr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F54EDC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Cs/>
                      <w:color w:val="000000"/>
                      <w:sz w:val="12"/>
                      <w:szCs w:val="14"/>
                    </w:rPr>
                  </w:pPr>
                  <w:r w:rsidRPr="00F54EDC">
                    <w:rPr>
                      <w:rFonts w:ascii="Century Gothic" w:hAnsi="Century Gothic"/>
                      <w:bCs/>
                      <w:color w:val="000000"/>
                      <w:sz w:val="12"/>
                      <w:szCs w:val="14"/>
                    </w:rPr>
                    <w:t>1</w:t>
                  </w:r>
                </w:p>
              </w:tc>
              <w:tc>
                <w:tcPr>
                  <w:tcW w:w="505" w:type="pct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color w:val="000000"/>
                      <w:sz w:val="12"/>
                      <w:szCs w:val="14"/>
                    </w:rPr>
                  </w:pPr>
                  <w:r w:rsidRPr="00621129">
                    <w:rPr>
                      <w:rFonts w:ascii="Century Gothic" w:hAnsi="Century Gothic"/>
                      <w:b/>
                      <w:color w:val="000000"/>
                      <w:sz w:val="12"/>
                      <w:szCs w:val="14"/>
                    </w:rPr>
                    <w:t>Lahore</w:t>
                  </w: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21129" w:rsidRPr="00621129" w:rsidRDefault="00621129" w:rsidP="00621129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Depalpur</w:t>
                  </w:r>
                  <w:proofErr w:type="spellEnd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 xml:space="preserve"> </w:t>
                  </w:r>
                </w:p>
              </w:tc>
              <w:tc>
                <w:tcPr>
                  <w:tcW w:w="889" w:type="pct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sz w:val="12"/>
                      <w:szCs w:val="14"/>
                    </w:rPr>
                  </w:pPr>
                  <w:r w:rsidRPr="005B0AE5">
                    <w:rPr>
                      <w:rFonts w:ascii="Century Gothic" w:hAnsi="Century Gothic"/>
                      <w:sz w:val="12"/>
                      <w:szCs w:val="14"/>
                    </w:rPr>
                    <w:t>Regional Office Lahore</w:t>
                  </w:r>
                  <w:r w:rsidRPr="005B0AE5">
                    <w:rPr>
                      <w:rFonts w:ascii="Century Gothic" w:hAnsi="Century Gothic"/>
                      <w:b/>
                      <w:bCs/>
                      <w:sz w:val="12"/>
                      <w:szCs w:val="14"/>
                    </w:rPr>
                    <w:t xml:space="preserve"> </w:t>
                  </w:r>
                  <w:r w:rsidRPr="005B0AE5">
                    <w:rPr>
                      <w:rFonts w:ascii="Century Gothic" w:hAnsi="Century Gothic"/>
                      <w:sz w:val="12"/>
                      <w:szCs w:val="14"/>
                    </w:rPr>
                    <w:t>at 119-Baber Block, New Garden Town, Lahore</w:t>
                  </w:r>
                </w:p>
              </w:tc>
              <w:tc>
                <w:tcPr>
                  <w:tcW w:w="1112" w:type="pct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621129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Latest by 10:30 AM,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Tuesd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ay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25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  <w:vertAlign w:val="superscript"/>
                    </w:rPr>
                    <w:t>th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April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201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7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at 119 Baber Block, New Garden Town, Lahore</w:t>
                  </w:r>
                </w:p>
              </w:tc>
              <w:tc>
                <w:tcPr>
                  <w:tcW w:w="1120" w:type="pct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At 11:00 AM,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Tuesd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ay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25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  <w:vertAlign w:val="superscript"/>
                    </w:rPr>
                    <w:t>th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April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201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7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 at 119 Baber Block, New Garden Town, Lahore</w:t>
                  </w:r>
                </w:p>
              </w:tc>
            </w:tr>
            <w:tr w:rsidR="00621129" w:rsidRPr="005B0AE5" w:rsidTr="006700AE">
              <w:trPr>
                <w:trHeight w:val="40"/>
              </w:trPr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F54EDC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Cs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entury Gothic" w:hAnsi="Century Gothic"/>
                      <w:bCs/>
                      <w:color w:val="000000"/>
                      <w:sz w:val="12"/>
                      <w:szCs w:val="14"/>
                    </w:rPr>
                    <w:t>2</w:t>
                  </w:r>
                </w:p>
              </w:tc>
              <w:tc>
                <w:tcPr>
                  <w:tcW w:w="505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Ellahabad</w:t>
                  </w:r>
                  <w:proofErr w:type="spellEnd"/>
                </w:p>
              </w:tc>
              <w:tc>
                <w:tcPr>
                  <w:tcW w:w="889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621129" w:rsidRPr="005B0AE5" w:rsidTr="006700AE">
              <w:trPr>
                <w:trHeight w:val="40"/>
              </w:trPr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F54EDC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Cs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entury Gothic" w:hAnsi="Century Gothic"/>
                      <w:bCs/>
                      <w:color w:val="000000"/>
                      <w:sz w:val="12"/>
                      <w:szCs w:val="14"/>
                    </w:rPr>
                    <w:t>3</w:t>
                  </w:r>
                </w:p>
              </w:tc>
              <w:tc>
                <w:tcPr>
                  <w:tcW w:w="505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Mandi Baha-ud-Din</w:t>
                  </w:r>
                </w:p>
              </w:tc>
              <w:tc>
                <w:tcPr>
                  <w:tcW w:w="889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621129" w:rsidRPr="005B0AE5" w:rsidTr="006700AE">
              <w:trPr>
                <w:trHeight w:val="40"/>
              </w:trPr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F54EDC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Cs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entury Gothic" w:hAnsi="Century Gothic"/>
                      <w:bCs/>
                      <w:color w:val="000000"/>
                      <w:sz w:val="12"/>
                      <w:szCs w:val="14"/>
                    </w:rPr>
                    <w:t>4</w:t>
                  </w:r>
                </w:p>
              </w:tc>
              <w:tc>
                <w:tcPr>
                  <w:tcW w:w="505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 xml:space="preserve">More </w:t>
                  </w: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Khunda</w:t>
                  </w:r>
                  <w:proofErr w:type="spellEnd"/>
                </w:p>
              </w:tc>
              <w:tc>
                <w:tcPr>
                  <w:tcW w:w="889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621129" w:rsidRPr="005B0AE5" w:rsidTr="006700AE">
              <w:trPr>
                <w:trHeight w:val="40"/>
              </w:trPr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F54EDC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Cs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entury Gothic" w:hAnsi="Century Gothic"/>
                      <w:bCs/>
                      <w:color w:val="000000"/>
                      <w:sz w:val="12"/>
                      <w:szCs w:val="14"/>
                    </w:rPr>
                    <w:t>5</w:t>
                  </w:r>
                </w:p>
              </w:tc>
              <w:tc>
                <w:tcPr>
                  <w:tcW w:w="505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Muridke</w:t>
                  </w:r>
                </w:p>
              </w:tc>
              <w:tc>
                <w:tcPr>
                  <w:tcW w:w="889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621129" w:rsidRPr="005B0AE5" w:rsidTr="006700AE">
              <w:trPr>
                <w:trHeight w:val="40"/>
              </w:trPr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F54EDC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Cs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entury Gothic" w:hAnsi="Century Gothic"/>
                      <w:bCs/>
                      <w:color w:val="000000"/>
                      <w:sz w:val="12"/>
                      <w:szCs w:val="14"/>
                    </w:rPr>
                    <w:t>6</w:t>
                  </w:r>
                </w:p>
              </w:tc>
              <w:tc>
                <w:tcPr>
                  <w:tcW w:w="505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Manga</w:t>
                  </w:r>
                  <w:proofErr w:type="spellEnd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 xml:space="preserve"> Mandi</w:t>
                  </w:r>
                </w:p>
              </w:tc>
              <w:tc>
                <w:tcPr>
                  <w:tcW w:w="889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621129" w:rsidRPr="005B0AE5" w:rsidTr="006700AE">
              <w:trPr>
                <w:trHeight w:val="40"/>
              </w:trPr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F54EDC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Cs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entury Gothic" w:hAnsi="Century Gothic"/>
                      <w:bCs/>
                      <w:color w:val="000000"/>
                      <w:sz w:val="12"/>
                      <w:szCs w:val="14"/>
                    </w:rPr>
                    <w:t>7</w:t>
                  </w:r>
                </w:p>
              </w:tc>
              <w:tc>
                <w:tcPr>
                  <w:tcW w:w="505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PakPattan</w:t>
                  </w:r>
                  <w:proofErr w:type="spellEnd"/>
                </w:p>
              </w:tc>
              <w:tc>
                <w:tcPr>
                  <w:tcW w:w="889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621129" w:rsidRPr="005B0AE5" w:rsidTr="006700AE">
              <w:trPr>
                <w:trHeight w:val="40"/>
              </w:trPr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F54EDC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Cs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entury Gothic" w:hAnsi="Century Gothic"/>
                      <w:bCs/>
                      <w:color w:val="000000"/>
                      <w:sz w:val="12"/>
                      <w:szCs w:val="14"/>
                    </w:rPr>
                    <w:t>8</w:t>
                  </w:r>
                </w:p>
              </w:tc>
              <w:tc>
                <w:tcPr>
                  <w:tcW w:w="505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Sahiwal</w:t>
                  </w:r>
                </w:p>
              </w:tc>
              <w:tc>
                <w:tcPr>
                  <w:tcW w:w="889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bCs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621129" w:rsidRPr="005B0AE5" w:rsidTr="006700AE">
              <w:trPr>
                <w:trHeight w:val="144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F54EDC" w:rsidRDefault="00621129" w:rsidP="00EA50B1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4"/>
                    </w:rPr>
                    <w:t>9</w:t>
                  </w:r>
                </w:p>
              </w:tc>
              <w:tc>
                <w:tcPr>
                  <w:tcW w:w="505" w:type="pct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color w:val="000000"/>
                      <w:sz w:val="12"/>
                      <w:szCs w:val="14"/>
                    </w:rPr>
                  </w:pPr>
                  <w:r w:rsidRPr="00621129">
                    <w:rPr>
                      <w:rFonts w:ascii="Century Gothic" w:hAnsi="Century Gothic"/>
                      <w:b/>
                      <w:color w:val="000000"/>
                      <w:sz w:val="12"/>
                      <w:szCs w:val="14"/>
                    </w:rPr>
                    <w:t>Hyderabad</w:t>
                  </w:r>
                </w:p>
              </w:tc>
              <w:tc>
                <w:tcPr>
                  <w:tcW w:w="10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621129" w:rsidRDefault="00621129" w:rsidP="006700AE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 xml:space="preserve">Mir </w:t>
                  </w: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Pur</w:t>
                  </w:r>
                  <w:proofErr w:type="spellEnd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 xml:space="preserve"> </w:t>
                  </w: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Khas</w:t>
                  </w:r>
                  <w:proofErr w:type="spellEnd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 xml:space="preserve"> </w:t>
                  </w:r>
                </w:p>
              </w:tc>
              <w:tc>
                <w:tcPr>
                  <w:tcW w:w="889" w:type="pct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sz w:val="12"/>
                      <w:szCs w:val="14"/>
                    </w:rPr>
                  </w:pPr>
                  <w:r w:rsidRPr="005B0AE5">
                    <w:rPr>
                      <w:rFonts w:ascii="Century Gothic" w:hAnsi="Century Gothic"/>
                      <w:sz w:val="12"/>
                      <w:szCs w:val="14"/>
                    </w:rPr>
                    <w:t>Regional Office Hyderabad at House no. 64-C, Citizen Housing Society, Hyderabad, Sindh.</w:t>
                  </w:r>
                </w:p>
              </w:tc>
              <w:tc>
                <w:tcPr>
                  <w:tcW w:w="1112" w:type="pct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Latest by 10:30 AM,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Tuesd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ay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25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  <w:vertAlign w:val="superscript"/>
                    </w:rPr>
                    <w:t>th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April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201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7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</w:t>
                  </w:r>
                  <w:r w:rsidRPr="00E83629">
                    <w:rPr>
                      <w:rFonts w:ascii="Cambria" w:hAnsi="Cambria"/>
                      <w:b/>
                      <w:bCs/>
                      <w:color w:val="000000"/>
                      <w:sz w:val="14"/>
                      <w:szCs w:val="14"/>
                    </w:rPr>
                    <w:t>at House no. 64-C, Citizen Housing Society, Hyderabad, Sindh.</w:t>
                  </w:r>
                </w:p>
              </w:tc>
              <w:tc>
                <w:tcPr>
                  <w:tcW w:w="1120" w:type="pct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At 11:00 AM,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Tuesd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ay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25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  <w:vertAlign w:val="superscript"/>
                    </w:rPr>
                    <w:t>th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April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201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7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at House no.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  </w:t>
                  </w:r>
                  <w:r w:rsidR="006700AE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64-C, Citizen Housing Society, Hyderabad, Sindh.</w:t>
                  </w:r>
                </w:p>
              </w:tc>
            </w:tr>
            <w:tr w:rsidR="00621129" w:rsidRPr="005B0AE5" w:rsidTr="006700AE">
              <w:trPr>
                <w:trHeight w:val="144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4"/>
                    </w:rPr>
                    <w:t>10</w:t>
                  </w:r>
                </w:p>
              </w:tc>
              <w:tc>
                <w:tcPr>
                  <w:tcW w:w="50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b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621129" w:rsidRDefault="00621129" w:rsidP="006700AE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Noshero</w:t>
                  </w:r>
                  <w:proofErr w:type="spellEnd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 xml:space="preserve"> </w:t>
                  </w: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Feroze</w:t>
                  </w:r>
                  <w:proofErr w:type="spellEnd"/>
                </w:p>
              </w:tc>
              <w:tc>
                <w:tcPr>
                  <w:tcW w:w="88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621129" w:rsidRPr="005B0AE5" w:rsidTr="006700AE">
              <w:trPr>
                <w:trHeight w:val="144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Default="00621129" w:rsidP="00EA50B1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4"/>
                    </w:rPr>
                    <w:t>11</w:t>
                  </w:r>
                </w:p>
              </w:tc>
              <w:tc>
                <w:tcPr>
                  <w:tcW w:w="50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b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621129" w:rsidRDefault="00621129" w:rsidP="006700AE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Tando</w:t>
                  </w:r>
                  <w:proofErr w:type="spellEnd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 xml:space="preserve"> Muhammad Khan</w:t>
                  </w:r>
                </w:p>
              </w:tc>
              <w:tc>
                <w:tcPr>
                  <w:tcW w:w="88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621129" w:rsidRPr="005B0AE5" w:rsidTr="006700AE">
              <w:trPr>
                <w:trHeight w:val="144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Default="00621129" w:rsidP="00EA50B1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4"/>
                    </w:rPr>
                    <w:t>12</w:t>
                  </w:r>
                </w:p>
              </w:tc>
              <w:tc>
                <w:tcPr>
                  <w:tcW w:w="50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b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621129" w:rsidRDefault="00621129" w:rsidP="006700AE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Usta</w:t>
                  </w:r>
                  <w:proofErr w:type="spellEnd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 xml:space="preserve"> Mohammad</w:t>
                  </w:r>
                </w:p>
              </w:tc>
              <w:tc>
                <w:tcPr>
                  <w:tcW w:w="88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621129" w:rsidRPr="005B0AE5" w:rsidTr="006700AE">
              <w:trPr>
                <w:trHeight w:val="144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4"/>
                    </w:rPr>
                    <w:t>13</w:t>
                  </w:r>
                </w:p>
              </w:tc>
              <w:tc>
                <w:tcPr>
                  <w:tcW w:w="505" w:type="pct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color w:val="000000"/>
                      <w:sz w:val="12"/>
                      <w:szCs w:val="14"/>
                    </w:rPr>
                  </w:pPr>
                  <w:r w:rsidRPr="00621129">
                    <w:rPr>
                      <w:rFonts w:ascii="Century Gothic" w:hAnsi="Century Gothic"/>
                      <w:b/>
                      <w:color w:val="000000"/>
                      <w:sz w:val="12"/>
                      <w:szCs w:val="14"/>
                    </w:rPr>
                    <w:t>Lodhran</w:t>
                  </w:r>
                </w:p>
              </w:tc>
              <w:tc>
                <w:tcPr>
                  <w:tcW w:w="10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 xml:space="preserve">Ahmed </w:t>
                  </w: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Pur</w:t>
                  </w:r>
                  <w:proofErr w:type="spellEnd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 xml:space="preserve"> East</w:t>
                  </w:r>
                </w:p>
              </w:tc>
              <w:tc>
                <w:tcPr>
                  <w:tcW w:w="88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sz w:val="12"/>
                      <w:szCs w:val="14"/>
                    </w:rPr>
                  </w:pPr>
                  <w:r w:rsidRPr="005B0AE5">
                    <w:rPr>
                      <w:rFonts w:ascii="Century Gothic" w:hAnsi="Century Gothic"/>
                      <w:sz w:val="12"/>
                      <w:szCs w:val="14"/>
                    </w:rPr>
                    <w:t xml:space="preserve">Regional Manager Bulk Store, near Railway Station, Lodhran </w:t>
                  </w:r>
                </w:p>
              </w:tc>
              <w:tc>
                <w:tcPr>
                  <w:tcW w:w="111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Latest by 10:30 AM,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Tuesd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ay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25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  <w:vertAlign w:val="superscript"/>
                    </w:rPr>
                    <w:t>th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April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201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7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</w:t>
                  </w:r>
                  <w:r w:rsidRPr="00E83629">
                    <w:rPr>
                      <w:rFonts w:ascii="Cambria" w:hAnsi="Cambria"/>
                      <w:b/>
                      <w:bCs/>
                      <w:color w:val="000000"/>
                      <w:sz w:val="14"/>
                      <w:szCs w:val="14"/>
                    </w:rPr>
                    <w:t>at Regional Manager Office Bulk Store, Near Railway Station, Lodhran.</w:t>
                  </w:r>
                </w:p>
              </w:tc>
              <w:tc>
                <w:tcPr>
                  <w:tcW w:w="112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At 11:00 AM,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Tuesd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ay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25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  <w:vertAlign w:val="superscript"/>
                    </w:rPr>
                    <w:t>th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April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201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7 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at Regional Manager Office Bulk Store, Near Railway Station, Lodhran.</w:t>
                  </w:r>
                </w:p>
              </w:tc>
            </w:tr>
            <w:tr w:rsidR="00621129" w:rsidRPr="005B0AE5" w:rsidTr="006700AE">
              <w:trPr>
                <w:trHeight w:val="144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4"/>
                    </w:rPr>
                    <w:t>14</w:t>
                  </w:r>
                </w:p>
              </w:tc>
              <w:tc>
                <w:tcPr>
                  <w:tcW w:w="50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b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Chistian</w:t>
                  </w:r>
                </w:p>
              </w:tc>
              <w:tc>
                <w:tcPr>
                  <w:tcW w:w="8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rPr>
                      <w:rFonts w:ascii="Cambria" w:hAnsi="Cambria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621129" w:rsidRPr="005B0AE5" w:rsidTr="006700AE">
              <w:trPr>
                <w:trHeight w:val="144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4"/>
                    </w:rPr>
                    <w:t>15</w:t>
                  </w:r>
                </w:p>
              </w:tc>
              <w:tc>
                <w:tcPr>
                  <w:tcW w:w="50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b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KhanPur</w:t>
                  </w:r>
                  <w:proofErr w:type="spellEnd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 xml:space="preserve"> </w:t>
                  </w:r>
                </w:p>
              </w:tc>
              <w:tc>
                <w:tcPr>
                  <w:tcW w:w="8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rPr>
                      <w:rFonts w:ascii="Cambria" w:hAnsi="Cambria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621129" w:rsidRPr="005B0AE5" w:rsidTr="006700AE">
              <w:trPr>
                <w:trHeight w:val="144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4"/>
                    </w:rPr>
                    <w:t>16</w:t>
                  </w:r>
                </w:p>
              </w:tc>
              <w:tc>
                <w:tcPr>
                  <w:tcW w:w="50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b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Liaqat</w:t>
                  </w:r>
                  <w:proofErr w:type="spellEnd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 xml:space="preserve"> </w:t>
                  </w: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Pur</w:t>
                  </w:r>
                  <w:proofErr w:type="spellEnd"/>
                </w:p>
              </w:tc>
              <w:tc>
                <w:tcPr>
                  <w:tcW w:w="88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rPr>
                      <w:rFonts w:ascii="Cambria" w:hAnsi="Cambria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621129" w:rsidRPr="005B0AE5" w:rsidTr="006700AE">
              <w:trPr>
                <w:trHeight w:val="144"/>
              </w:trPr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4"/>
                    </w:rPr>
                    <w:t>17</w:t>
                  </w:r>
                </w:p>
              </w:tc>
              <w:tc>
                <w:tcPr>
                  <w:tcW w:w="50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b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Rahim</w:t>
                  </w:r>
                  <w:proofErr w:type="spellEnd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 xml:space="preserve"> </w:t>
                  </w: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Yar</w:t>
                  </w:r>
                  <w:proofErr w:type="spellEnd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 xml:space="preserve"> Khan</w:t>
                  </w:r>
                </w:p>
              </w:tc>
              <w:tc>
                <w:tcPr>
                  <w:tcW w:w="889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rPr>
                      <w:rFonts w:ascii="Cambria" w:hAnsi="Cambria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621129" w:rsidRPr="005B0AE5" w:rsidTr="006700AE">
              <w:trPr>
                <w:trHeight w:val="144"/>
              </w:trPr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4"/>
                    </w:rPr>
                    <w:t>18</w:t>
                  </w:r>
                </w:p>
              </w:tc>
              <w:tc>
                <w:tcPr>
                  <w:tcW w:w="5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b/>
                      <w:color w:val="000000"/>
                      <w:sz w:val="12"/>
                      <w:szCs w:val="14"/>
                    </w:rPr>
                  </w:pPr>
                  <w:r w:rsidRPr="00621129">
                    <w:rPr>
                      <w:rFonts w:ascii="Century Gothic" w:hAnsi="Century Gothic"/>
                      <w:b/>
                      <w:color w:val="000000"/>
                      <w:sz w:val="12"/>
                      <w:szCs w:val="14"/>
                    </w:rPr>
                    <w:t>Jhang</w:t>
                  </w: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Bhakkar</w:t>
                  </w:r>
                  <w:proofErr w:type="spellEnd"/>
                </w:p>
              </w:tc>
              <w:tc>
                <w:tcPr>
                  <w:tcW w:w="88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entury Gothic" w:hAnsi="Century Gothic"/>
                      <w:sz w:val="12"/>
                      <w:szCs w:val="14"/>
                    </w:rPr>
                  </w:pPr>
                  <w:r w:rsidRPr="005B0AE5">
                    <w:rPr>
                      <w:rFonts w:ascii="Century Gothic" w:hAnsi="Century Gothic"/>
                      <w:sz w:val="12"/>
                      <w:szCs w:val="14"/>
                    </w:rPr>
                    <w:t>Regional Manager NFML Store, Opposite Railway Station, Jhang City.</w:t>
                  </w:r>
                </w:p>
              </w:tc>
              <w:tc>
                <w:tcPr>
                  <w:tcW w:w="11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Latest by 10:30 AM,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Tuesd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ay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25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  <w:vertAlign w:val="superscript"/>
                    </w:rPr>
                    <w:t>th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April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201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7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at Regional Manager Office Bulk Store, Opposite Railway Station, Jhang City.</w:t>
                  </w:r>
                </w:p>
              </w:tc>
              <w:tc>
                <w:tcPr>
                  <w:tcW w:w="112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E83629" w:rsidRDefault="00621129" w:rsidP="00EA50B1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At 11:00 AM,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Tuesd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ay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25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  <w:vertAlign w:val="superscript"/>
                    </w:rPr>
                    <w:t>th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>April</w:t>
                  </w:r>
                  <w:r w:rsidRPr="00E83629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 201</w:t>
                  </w:r>
                  <w:r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7 </w:t>
                  </w:r>
                  <w:r w:rsidRPr="00E83629">
                    <w:rPr>
                      <w:rFonts w:ascii="Cambria" w:hAnsi="Cambria"/>
                      <w:b/>
                      <w:bCs/>
                      <w:color w:val="000000"/>
                      <w:sz w:val="14"/>
                      <w:szCs w:val="14"/>
                    </w:rPr>
                    <w:t>at Regional Manager Office Bulk Store, Opposite Railway Station, Jhang City.</w:t>
                  </w:r>
                </w:p>
              </w:tc>
            </w:tr>
            <w:tr w:rsidR="00621129" w:rsidRPr="005B0AE5" w:rsidTr="006700AE">
              <w:trPr>
                <w:trHeight w:val="144"/>
              </w:trPr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4"/>
                    </w:rPr>
                    <w:t>19</w:t>
                  </w:r>
                </w:p>
              </w:tc>
              <w:tc>
                <w:tcPr>
                  <w:tcW w:w="50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entury Gothic" w:hAnsi="Century Gothic"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Chiniot</w:t>
                  </w:r>
                  <w:proofErr w:type="spellEnd"/>
                </w:p>
              </w:tc>
              <w:tc>
                <w:tcPr>
                  <w:tcW w:w="88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b/>
                      <w:bCs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ambria" w:hAnsi="Cambria"/>
                      <w:b/>
                      <w:bCs/>
                      <w:sz w:val="12"/>
                      <w:szCs w:val="14"/>
                    </w:rPr>
                  </w:pPr>
                </w:p>
              </w:tc>
            </w:tr>
            <w:tr w:rsidR="00621129" w:rsidRPr="005B0AE5" w:rsidTr="006700AE">
              <w:trPr>
                <w:trHeight w:val="144"/>
              </w:trPr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4"/>
                    </w:rPr>
                    <w:t>20</w:t>
                  </w:r>
                </w:p>
              </w:tc>
              <w:tc>
                <w:tcPr>
                  <w:tcW w:w="50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entury Gothic" w:hAnsi="Century Gothic"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Gojra</w:t>
                  </w:r>
                  <w:proofErr w:type="spellEnd"/>
                </w:p>
              </w:tc>
              <w:tc>
                <w:tcPr>
                  <w:tcW w:w="88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b/>
                      <w:bCs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ambria" w:hAnsi="Cambria"/>
                      <w:b/>
                      <w:bCs/>
                      <w:sz w:val="12"/>
                      <w:szCs w:val="14"/>
                    </w:rPr>
                  </w:pPr>
                </w:p>
              </w:tc>
            </w:tr>
            <w:tr w:rsidR="00621129" w:rsidRPr="005B0AE5" w:rsidTr="006700AE">
              <w:trPr>
                <w:trHeight w:val="144"/>
              </w:trPr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4"/>
                    </w:rPr>
                    <w:t>21</w:t>
                  </w:r>
                </w:p>
              </w:tc>
              <w:tc>
                <w:tcPr>
                  <w:tcW w:w="50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entury Gothic" w:hAnsi="Century Gothic"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JaranWala</w:t>
                  </w:r>
                  <w:proofErr w:type="spellEnd"/>
                </w:p>
              </w:tc>
              <w:tc>
                <w:tcPr>
                  <w:tcW w:w="88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b/>
                      <w:bCs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ambria" w:hAnsi="Cambria"/>
                      <w:b/>
                      <w:bCs/>
                      <w:sz w:val="12"/>
                      <w:szCs w:val="14"/>
                    </w:rPr>
                  </w:pPr>
                </w:p>
              </w:tc>
            </w:tr>
            <w:tr w:rsidR="00621129" w:rsidRPr="005B0AE5" w:rsidTr="006700AE">
              <w:trPr>
                <w:trHeight w:val="144"/>
              </w:trPr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4"/>
                    </w:rPr>
                    <w:t>22</w:t>
                  </w:r>
                </w:p>
              </w:tc>
              <w:tc>
                <w:tcPr>
                  <w:tcW w:w="50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entury Gothic" w:hAnsi="Century Gothic"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Rajana</w:t>
                  </w:r>
                  <w:proofErr w:type="spellEnd"/>
                </w:p>
              </w:tc>
              <w:tc>
                <w:tcPr>
                  <w:tcW w:w="88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b/>
                      <w:bCs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ambria" w:hAnsi="Cambria"/>
                      <w:b/>
                      <w:bCs/>
                      <w:sz w:val="12"/>
                      <w:szCs w:val="14"/>
                    </w:rPr>
                  </w:pPr>
                </w:p>
              </w:tc>
            </w:tr>
            <w:tr w:rsidR="00621129" w:rsidRPr="005B0AE5" w:rsidTr="006700AE">
              <w:trPr>
                <w:trHeight w:val="144"/>
              </w:trPr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  <w:sz w:val="12"/>
                      <w:szCs w:val="14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4"/>
                    </w:rPr>
                    <w:t>23</w:t>
                  </w:r>
                </w:p>
              </w:tc>
              <w:tc>
                <w:tcPr>
                  <w:tcW w:w="50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entury Gothic" w:hAnsi="Century Gothic"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1129" w:rsidRPr="00621129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  <w:proofErr w:type="spellStart"/>
                  <w:r w:rsidRPr="00621129">
                    <w:rPr>
                      <w:rFonts w:ascii="Century Gothic" w:hAnsi="Century Gothic"/>
                      <w:sz w:val="12"/>
                      <w:szCs w:val="14"/>
                    </w:rPr>
                    <w:t>ShorKot</w:t>
                  </w:r>
                  <w:proofErr w:type="spellEnd"/>
                </w:p>
              </w:tc>
              <w:tc>
                <w:tcPr>
                  <w:tcW w:w="88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entury Gothic" w:hAnsi="Century Gothic"/>
                      <w:sz w:val="12"/>
                      <w:szCs w:val="14"/>
                    </w:rPr>
                  </w:pPr>
                </w:p>
              </w:tc>
              <w:tc>
                <w:tcPr>
                  <w:tcW w:w="1112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b/>
                      <w:bCs/>
                      <w:color w:val="000000"/>
                      <w:sz w:val="12"/>
                      <w:szCs w:val="14"/>
                    </w:rPr>
                  </w:pPr>
                </w:p>
              </w:tc>
              <w:tc>
                <w:tcPr>
                  <w:tcW w:w="1120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1129" w:rsidRPr="005B0AE5" w:rsidRDefault="00621129" w:rsidP="00EA50B1">
                  <w:pPr>
                    <w:spacing w:line="276" w:lineRule="auto"/>
                    <w:rPr>
                      <w:rFonts w:ascii="Cambria" w:hAnsi="Cambria"/>
                      <w:b/>
                      <w:bCs/>
                      <w:sz w:val="12"/>
                      <w:szCs w:val="14"/>
                    </w:rPr>
                  </w:pPr>
                </w:p>
              </w:tc>
            </w:tr>
          </w:tbl>
          <w:p w:rsidR="00621129" w:rsidRDefault="00621129" w:rsidP="00EA50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1B95">
              <w:rPr>
                <w:sz w:val="20"/>
                <w:szCs w:val="20"/>
              </w:rPr>
              <w:t xml:space="preserve">Tender documents containing Delivery Time/Completion Schedule, Qualification Criteria, Evaluation Criteria and Terms/Conditions of Contracts which can be collected against Demand Draft/Pay Order </w:t>
            </w:r>
            <w:r>
              <w:rPr>
                <w:sz w:val="20"/>
                <w:szCs w:val="20"/>
              </w:rPr>
              <w:t xml:space="preserve">for each </w:t>
            </w:r>
            <w:r w:rsidRPr="00921B95">
              <w:rPr>
                <w:sz w:val="20"/>
                <w:szCs w:val="20"/>
              </w:rPr>
              <w:t>Store</w:t>
            </w:r>
            <w:r w:rsidRPr="00921B95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@ </w:t>
            </w:r>
            <w:r w:rsidRPr="00921B95">
              <w:rPr>
                <w:b/>
                <w:i/>
                <w:sz w:val="20"/>
                <w:szCs w:val="20"/>
              </w:rPr>
              <w:t xml:space="preserve">Rupees Five Hundred Only (Rs.500/- Non Refundable) </w:t>
            </w:r>
            <w:r w:rsidRPr="00921B95">
              <w:rPr>
                <w:sz w:val="20"/>
                <w:szCs w:val="20"/>
              </w:rPr>
              <w:t xml:space="preserve">during Office hours from relevant NFML Regional Offices as stated above, on </w:t>
            </w:r>
            <w:r>
              <w:rPr>
                <w:sz w:val="20"/>
                <w:szCs w:val="20"/>
              </w:rPr>
              <w:t xml:space="preserve">any </w:t>
            </w:r>
            <w:r w:rsidRPr="00921B95">
              <w:rPr>
                <w:sz w:val="20"/>
                <w:szCs w:val="20"/>
              </w:rPr>
              <w:t xml:space="preserve">working days till </w:t>
            </w:r>
            <w:r>
              <w:rPr>
                <w:b/>
                <w:sz w:val="20"/>
                <w:szCs w:val="20"/>
                <w:u w:val="single"/>
              </w:rPr>
              <w:t>Mon</w:t>
            </w:r>
            <w:r w:rsidRPr="00921B95">
              <w:rPr>
                <w:b/>
                <w:sz w:val="20"/>
                <w:szCs w:val="20"/>
                <w:u w:val="single"/>
              </w:rPr>
              <w:t>day,</w:t>
            </w:r>
            <w:r>
              <w:rPr>
                <w:b/>
                <w:sz w:val="20"/>
                <w:szCs w:val="20"/>
                <w:u w:val="single"/>
              </w:rPr>
              <w:t>_24</w:t>
            </w:r>
            <w:r w:rsidRPr="00921B95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>
              <w:rPr>
                <w:b/>
                <w:sz w:val="20"/>
                <w:szCs w:val="20"/>
                <w:u w:val="single"/>
              </w:rPr>
              <w:t>_April</w:t>
            </w:r>
            <w:r w:rsidRPr="00921B95">
              <w:rPr>
                <w:b/>
                <w:sz w:val="20"/>
                <w:szCs w:val="20"/>
                <w:u w:val="single"/>
              </w:rPr>
              <w:t>, 201</w:t>
            </w:r>
            <w:r>
              <w:rPr>
                <w:b/>
                <w:sz w:val="20"/>
                <w:szCs w:val="20"/>
                <w:u w:val="single"/>
              </w:rPr>
              <w:t>7</w:t>
            </w:r>
            <w:r w:rsidRPr="00921B95">
              <w:rPr>
                <w:sz w:val="20"/>
                <w:szCs w:val="20"/>
                <w:u w:val="single"/>
              </w:rPr>
              <w:t xml:space="preserve"> </w:t>
            </w:r>
            <w:r w:rsidRPr="00921B95">
              <w:rPr>
                <w:b/>
                <w:sz w:val="20"/>
                <w:szCs w:val="20"/>
                <w:u w:val="single"/>
              </w:rPr>
              <w:t>by 04:00 PM.</w:t>
            </w:r>
            <w:r w:rsidRPr="00921B95">
              <w:rPr>
                <w:sz w:val="20"/>
                <w:szCs w:val="20"/>
              </w:rPr>
              <w:t xml:space="preserve"> </w:t>
            </w:r>
          </w:p>
          <w:p w:rsidR="00621129" w:rsidRDefault="00621129" w:rsidP="00EA50B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621129" w:rsidRPr="00921B95" w:rsidRDefault="00621129" w:rsidP="00EA50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1B95">
              <w:rPr>
                <w:sz w:val="20"/>
                <w:szCs w:val="20"/>
              </w:rPr>
              <w:t xml:space="preserve">The employees, their spouse, Cartage Contractors, Manpower &amp; Security Contractor and the dealers of NFML are not eligible to apply. </w:t>
            </w:r>
            <w:r w:rsidRPr="00921B95">
              <w:rPr>
                <w:bCs/>
                <w:sz w:val="20"/>
                <w:szCs w:val="20"/>
              </w:rPr>
              <w:t xml:space="preserve">All Tenders can be submitted at the concerned Regional Manager NFML Offices as given in the table above at the given time &amp; date, which shall be opened by the designated committee at </w:t>
            </w:r>
            <w:r w:rsidRPr="00921B95">
              <w:rPr>
                <w:b/>
                <w:bCs/>
                <w:sz w:val="20"/>
                <w:szCs w:val="20"/>
                <w:u w:val="single"/>
              </w:rPr>
              <w:t>11:00 A.M on</w:t>
            </w:r>
            <w:r w:rsidR="006700AE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>Tues</w:t>
            </w:r>
            <w:r w:rsidRPr="00921B95">
              <w:rPr>
                <w:b/>
                <w:bCs/>
                <w:sz w:val="20"/>
                <w:szCs w:val="20"/>
                <w:u w:val="single"/>
              </w:rPr>
              <w:t>day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25</w:t>
            </w:r>
            <w:r w:rsidRPr="00921B95">
              <w:rPr>
                <w:b/>
                <w:bCs/>
                <w:sz w:val="20"/>
                <w:szCs w:val="20"/>
                <w:u w:val="single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  <w:u w:val="single"/>
              </w:rPr>
              <w:t>_April</w:t>
            </w:r>
            <w:r w:rsidRPr="00921B95">
              <w:rPr>
                <w:b/>
                <w:bCs/>
                <w:sz w:val="20"/>
                <w:szCs w:val="20"/>
                <w:u w:val="single"/>
              </w:rPr>
              <w:t>, 201</w:t>
            </w:r>
            <w:r>
              <w:rPr>
                <w:b/>
                <w:bCs/>
                <w:sz w:val="20"/>
                <w:szCs w:val="20"/>
                <w:u w:val="single"/>
              </w:rPr>
              <w:t>7</w:t>
            </w:r>
            <w:r w:rsidRPr="00921B95">
              <w:rPr>
                <w:bCs/>
                <w:sz w:val="20"/>
                <w:szCs w:val="20"/>
              </w:rPr>
              <w:t>, in the presence of the contractors/reps, who wish to remain present.</w:t>
            </w:r>
          </w:p>
          <w:p w:rsidR="00621129" w:rsidRPr="00C654F7" w:rsidRDefault="00621129" w:rsidP="00EA50B1">
            <w:pPr>
              <w:spacing w:line="276" w:lineRule="auto"/>
              <w:jc w:val="both"/>
              <w:rPr>
                <w:sz w:val="10"/>
                <w:szCs w:val="20"/>
              </w:rPr>
            </w:pPr>
          </w:p>
          <w:p w:rsidR="00621129" w:rsidRPr="00921B95" w:rsidRDefault="00621129" w:rsidP="00EA50B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21B95">
              <w:rPr>
                <w:sz w:val="20"/>
                <w:szCs w:val="20"/>
              </w:rPr>
              <w:t xml:space="preserve">National Fertilizer Marketing Limited </w:t>
            </w:r>
            <w:r w:rsidRPr="00921B95">
              <w:rPr>
                <w:rFonts w:ascii="BookAntiqua" w:eastAsia="Calibri" w:hAnsi="BookAntiqua" w:cs="BookAntiqua"/>
                <w:sz w:val="20"/>
                <w:szCs w:val="20"/>
              </w:rPr>
              <w:t xml:space="preserve">may reject all bids or proposals at any time prior to the acceptance of a bid or proposal in </w:t>
            </w:r>
            <w:r w:rsidRPr="00921B95">
              <w:rPr>
                <w:sz w:val="20"/>
                <w:szCs w:val="20"/>
              </w:rPr>
              <w:t>accordance to clause 33(1) of PPRA Rules-2004.</w:t>
            </w:r>
          </w:p>
          <w:p w:rsidR="00621129" w:rsidRPr="00C654F7" w:rsidRDefault="00621129" w:rsidP="00EA50B1">
            <w:pPr>
              <w:spacing w:line="276" w:lineRule="auto"/>
              <w:jc w:val="both"/>
              <w:rPr>
                <w:sz w:val="10"/>
                <w:szCs w:val="20"/>
              </w:rPr>
            </w:pPr>
          </w:p>
          <w:p w:rsidR="00621129" w:rsidRPr="00D40047" w:rsidRDefault="00621129" w:rsidP="00EA50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1B95">
              <w:rPr>
                <w:sz w:val="20"/>
                <w:szCs w:val="20"/>
              </w:rPr>
              <w:t>This tender is also available on PPRA and NFML websites.</w:t>
            </w:r>
          </w:p>
        </w:tc>
      </w:tr>
      <w:tr w:rsidR="00621129" w:rsidRPr="00921B95" w:rsidTr="00621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520" w:type="dxa"/>
            <w:gridSpan w:val="4"/>
          </w:tcPr>
          <w:p w:rsidR="00621129" w:rsidRPr="00921B95" w:rsidRDefault="00621129" w:rsidP="006700AE">
            <w:pPr>
              <w:jc w:val="center"/>
              <w:rPr>
                <w:rFonts w:ascii="ITC Avant Garde Gothic" w:hAnsi="ITC Avant Garde Gothic"/>
                <w:b/>
                <w:bCs/>
                <w:sz w:val="20"/>
                <w:szCs w:val="20"/>
                <w:u w:val="single"/>
              </w:rPr>
            </w:pPr>
            <w:r>
              <w:rPr>
                <w:noProof/>
                <w:sz w:val="3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322371</wp:posOffset>
                  </wp:positionH>
                  <wp:positionV relativeFrom="paragraph">
                    <wp:posOffset>93431</wp:posOffset>
                  </wp:positionV>
                  <wp:extent cx="690634" cy="641445"/>
                  <wp:effectExtent l="1905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634" cy="641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21B95">
              <w:rPr>
                <w:rFonts w:ascii="ITC Avant Garde Gothic" w:hAnsi="ITC Avant Garde Gothic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230" w:type="dxa"/>
          </w:tcPr>
          <w:p w:rsidR="00621129" w:rsidRPr="00921B95" w:rsidRDefault="00621129" w:rsidP="00EA50B1">
            <w:pPr>
              <w:rPr>
                <w:rFonts w:ascii="ITC Avant Garde Gothic" w:hAnsi="ITC Avant Garde Gothic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69" w:type="dxa"/>
            <w:gridSpan w:val="3"/>
          </w:tcPr>
          <w:p w:rsidR="00621129" w:rsidRPr="00921B95" w:rsidRDefault="00621129" w:rsidP="00EA50B1">
            <w:pPr>
              <w:jc w:val="center"/>
              <w:rPr>
                <w:rFonts w:ascii="ITC Avant Garde Gothic" w:hAnsi="ITC Avant Garde Gothic"/>
                <w:b/>
                <w:bCs/>
                <w:sz w:val="20"/>
                <w:szCs w:val="20"/>
                <w:u w:val="single"/>
              </w:rPr>
            </w:pPr>
            <w:r w:rsidRPr="00921B95">
              <w:rPr>
                <w:noProof/>
                <w:sz w:val="20"/>
                <w:szCs w:val="20"/>
              </w:rPr>
              <w:pict>
                <v:shape id="_x0000_s1026" style="position:absolute;left:0;text-align:left;margin-left:8.7pt;margin-top:11.6pt;width:33.75pt;height:33pt;rotation:2816186fd;z-index:251660288;mso-position-horizontal-relative:text;mso-position-vertical-relative:text" coordsize="2880,2880" path="m,l,2880,960,1920r,-960l1920,960,2880,,,xe" fillcolor="black">
                  <v:path arrowok="t"/>
                </v:shape>
              </w:pict>
            </w:r>
          </w:p>
        </w:tc>
      </w:tr>
      <w:tr w:rsidR="00621129" w:rsidRPr="00921B95" w:rsidTr="00621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520" w:type="dxa"/>
            <w:gridSpan w:val="4"/>
          </w:tcPr>
          <w:p w:rsidR="00621129" w:rsidRPr="00921B95" w:rsidRDefault="00621129" w:rsidP="00EA50B1">
            <w:pPr>
              <w:jc w:val="center"/>
              <w:rPr>
                <w:b/>
                <w:sz w:val="20"/>
                <w:szCs w:val="20"/>
              </w:rPr>
            </w:pPr>
          </w:p>
          <w:p w:rsidR="00621129" w:rsidRPr="00921B95" w:rsidRDefault="00621129" w:rsidP="00EA50B1">
            <w:pPr>
              <w:jc w:val="center"/>
              <w:rPr>
                <w:b/>
                <w:sz w:val="20"/>
                <w:szCs w:val="20"/>
              </w:rPr>
            </w:pPr>
          </w:p>
          <w:p w:rsidR="00621129" w:rsidRPr="00921B95" w:rsidRDefault="00621129" w:rsidP="00EA50B1">
            <w:pPr>
              <w:jc w:val="center"/>
              <w:rPr>
                <w:b/>
                <w:sz w:val="20"/>
                <w:szCs w:val="20"/>
              </w:rPr>
            </w:pPr>
          </w:p>
          <w:p w:rsidR="00621129" w:rsidRPr="00921B95" w:rsidRDefault="00621129" w:rsidP="00EA50B1">
            <w:pPr>
              <w:jc w:val="center"/>
              <w:rPr>
                <w:b/>
                <w:sz w:val="20"/>
                <w:szCs w:val="20"/>
              </w:rPr>
            </w:pPr>
          </w:p>
          <w:p w:rsidR="00621129" w:rsidRPr="00921B95" w:rsidRDefault="00621129" w:rsidP="00EA50B1">
            <w:pPr>
              <w:ind w:right="-288"/>
              <w:jc w:val="center"/>
              <w:rPr>
                <w:b/>
                <w:sz w:val="20"/>
                <w:szCs w:val="20"/>
              </w:rPr>
            </w:pPr>
            <w:r w:rsidRPr="00921B95">
              <w:rPr>
                <w:b/>
                <w:sz w:val="20"/>
                <w:szCs w:val="20"/>
              </w:rPr>
              <w:t xml:space="preserve">Ministry of Industries &amp; Production </w:t>
            </w:r>
          </w:p>
          <w:p w:rsidR="00621129" w:rsidRPr="00921B95" w:rsidRDefault="00621129" w:rsidP="00EA50B1">
            <w:pPr>
              <w:ind w:right="-288"/>
              <w:jc w:val="center"/>
              <w:rPr>
                <w:rFonts w:ascii="ITC Avant Garde Gothic" w:hAnsi="ITC Avant Garde Gothic"/>
                <w:b/>
                <w:bCs/>
                <w:sz w:val="20"/>
                <w:szCs w:val="20"/>
                <w:u w:val="single"/>
              </w:rPr>
            </w:pPr>
            <w:r w:rsidRPr="00921B95">
              <w:rPr>
                <w:b/>
                <w:sz w:val="20"/>
                <w:szCs w:val="20"/>
              </w:rPr>
              <w:t>Government of Pakistan</w:t>
            </w:r>
          </w:p>
        </w:tc>
        <w:tc>
          <w:tcPr>
            <w:tcW w:w="5230" w:type="dxa"/>
          </w:tcPr>
          <w:tbl>
            <w:tblPr>
              <w:tblW w:w="5170" w:type="dxa"/>
              <w:jc w:val="center"/>
              <w:tblLook w:val="01E0"/>
            </w:tblPr>
            <w:tblGrid>
              <w:gridCol w:w="5170"/>
            </w:tblGrid>
            <w:tr w:rsidR="00621129" w:rsidRPr="00921B95" w:rsidTr="00EA50B1">
              <w:trPr>
                <w:jc w:val="center"/>
              </w:trPr>
              <w:tc>
                <w:tcPr>
                  <w:tcW w:w="5170" w:type="dxa"/>
                  <w:shd w:val="clear" w:color="auto" w:fill="auto"/>
                </w:tcPr>
                <w:p w:rsidR="00621129" w:rsidRPr="00921B95" w:rsidRDefault="00621129" w:rsidP="00EA50B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Assistant </w:t>
                  </w:r>
                  <w:r w:rsidRPr="00921B95">
                    <w:rPr>
                      <w:b/>
                      <w:sz w:val="20"/>
                      <w:szCs w:val="20"/>
                    </w:rPr>
                    <w:t>Manager (Commercial)</w:t>
                  </w:r>
                </w:p>
                <w:p w:rsidR="00621129" w:rsidRPr="00921B95" w:rsidRDefault="00621129" w:rsidP="00EA50B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21B95">
                    <w:rPr>
                      <w:b/>
                      <w:sz w:val="20"/>
                      <w:szCs w:val="20"/>
                    </w:rPr>
                    <w:t>National Fertilizer Marketing Limited</w:t>
                  </w:r>
                </w:p>
                <w:p w:rsidR="00621129" w:rsidRPr="00921B95" w:rsidRDefault="00621129" w:rsidP="00EA50B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21B95">
                    <w:rPr>
                      <w:b/>
                      <w:sz w:val="20"/>
                      <w:szCs w:val="20"/>
                    </w:rPr>
                    <w:t>53-Jail Road, Lahore.</w:t>
                  </w:r>
                </w:p>
                <w:p w:rsidR="00621129" w:rsidRPr="00921B95" w:rsidRDefault="00621129" w:rsidP="00EA50B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21B95">
                    <w:rPr>
                      <w:b/>
                      <w:sz w:val="20"/>
                      <w:szCs w:val="20"/>
                    </w:rPr>
                    <w:t>Telephone: 042-99205666-73</w:t>
                  </w:r>
                </w:p>
                <w:p w:rsidR="00621129" w:rsidRPr="00921B95" w:rsidRDefault="00621129" w:rsidP="00EA50B1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21129" w:rsidRPr="00921B95" w:rsidTr="00EA50B1">
              <w:trPr>
                <w:jc w:val="center"/>
              </w:trPr>
              <w:tc>
                <w:tcPr>
                  <w:tcW w:w="5170" w:type="dxa"/>
                  <w:shd w:val="clear" w:color="auto" w:fill="auto"/>
                </w:tcPr>
                <w:p w:rsidR="00621129" w:rsidRPr="00921B95" w:rsidRDefault="00621129" w:rsidP="00EA50B1">
                  <w:pPr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:rsidR="00621129" w:rsidRPr="00921B95" w:rsidRDefault="00621129" w:rsidP="00EA50B1">
            <w:pPr>
              <w:jc w:val="center"/>
              <w:rPr>
                <w:rFonts w:ascii="ITC Avant Garde Gothic" w:hAnsi="ITC Avant Garde Gothic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69" w:type="dxa"/>
            <w:gridSpan w:val="3"/>
          </w:tcPr>
          <w:p w:rsidR="00621129" w:rsidRPr="00921B95" w:rsidRDefault="00621129" w:rsidP="00EA50B1">
            <w:pPr>
              <w:jc w:val="center"/>
              <w:rPr>
                <w:rFonts w:ascii="ITC Avant Garde Gothic" w:hAnsi="ITC Avant Garde Gothic"/>
                <w:b/>
                <w:bCs/>
                <w:sz w:val="20"/>
                <w:szCs w:val="20"/>
                <w:u w:val="single"/>
              </w:rPr>
            </w:pPr>
          </w:p>
          <w:p w:rsidR="00621129" w:rsidRDefault="00621129" w:rsidP="00EA50B1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  </w:t>
            </w:r>
          </w:p>
          <w:p w:rsidR="00621129" w:rsidRPr="00921B95" w:rsidRDefault="00621129" w:rsidP="00EA50B1">
            <w:pPr>
              <w:rPr>
                <w:rFonts w:ascii="ITC Avant Garde Gothic" w:hAnsi="ITC Avant Garde Gothic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  </w:t>
            </w:r>
            <w:r w:rsidRPr="00921B95">
              <w:rPr>
                <w:rFonts w:ascii="Arial Black" w:hAnsi="Arial Black"/>
                <w:sz w:val="20"/>
                <w:szCs w:val="20"/>
              </w:rPr>
              <w:t>NFC</w:t>
            </w:r>
          </w:p>
        </w:tc>
      </w:tr>
      <w:tr w:rsidR="00621129" w:rsidRPr="00921B95" w:rsidTr="00621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520" w:type="dxa"/>
            <w:gridSpan w:val="4"/>
          </w:tcPr>
          <w:p w:rsidR="00621129" w:rsidRPr="00921B95" w:rsidRDefault="00621129" w:rsidP="00EA50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30" w:type="dxa"/>
          </w:tcPr>
          <w:p w:rsidR="00621129" w:rsidRPr="00921B95" w:rsidRDefault="00621129" w:rsidP="00EA50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gridSpan w:val="3"/>
          </w:tcPr>
          <w:p w:rsidR="00621129" w:rsidRPr="00921B95" w:rsidRDefault="00621129" w:rsidP="00EA50B1">
            <w:pPr>
              <w:jc w:val="center"/>
              <w:rPr>
                <w:rFonts w:ascii="ITC Avant Garde Gothic" w:hAnsi="ITC Avant Garde Gothic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621129" w:rsidRDefault="00621129" w:rsidP="00621129"/>
    <w:p w:rsidR="00663FF1" w:rsidRDefault="00663FF1"/>
    <w:sectPr w:rsidR="00663FF1" w:rsidSect="00902593">
      <w:footerReference w:type="default" r:id="rId7"/>
      <w:pgSz w:w="12240" w:h="20160" w:code="5"/>
      <w:pgMar w:top="990" w:right="1440" w:bottom="1890" w:left="1440" w:header="446" w:footer="360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pgNumType w:start="1" w:chapStyle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E13" w:rsidRDefault="006700AE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21129"/>
    <w:rsid w:val="00621129"/>
    <w:rsid w:val="00663FF1"/>
    <w:rsid w:val="006700AE"/>
    <w:rsid w:val="0098506E"/>
    <w:rsid w:val="00E0532D"/>
    <w:rsid w:val="00EA3892"/>
    <w:rsid w:val="00ED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211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112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1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nfml.com.p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NFML</dc:creator>
  <cp:lastModifiedBy>NFML</cp:lastModifiedBy>
  <cp:revision>3</cp:revision>
  <dcterms:created xsi:type="dcterms:W3CDTF">2017-04-05T06:10:00Z</dcterms:created>
  <dcterms:modified xsi:type="dcterms:W3CDTF">2017-04-05T06:28:00Z</dcterms:modified>
</cp:coreProperties>
</file>